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default" w:ascii="宋体" w:hAnsi="宋体" w:eastAsia="宋体"/>
          <w:sz w:val="24"/>
          <w:lang w:val="en-US" w:eastAsia="zh-CN"/>
        </w:rPr>
      </w:pPr>
      <w:r>
        <w:rPr>
          <w:rFonts w:hint="eastAsia" w:ascii="宋体" w:hAnsi="宋体"/>
          <w:sz w:val="24"/>
          <w:lang w:val="en-US" w:eastAsia="zh-CN"/>
        </w:rPr>
        <w:t>采购内容及需求</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乙方为甲方提供四季花卉租赁养护业务，并免费提供摆放和布置等服务。乙方负责给甲方的场所给予花卉布置设计，每星期定期养护及适时调换。楼内大厅、门厅、走廊和会议室等花卉的花瓶都要求使用瓷花瓶。</w:t>
      </w:r>
    </w:p>
    <w:p>
      <w:pPr>
        <w:spacing w:line="360" w:lineRule="auto"/>
        <w:ind w:firstLine="480" w:firstLineChars="200"/>
        <w:rPr>
          <w:rFonts w:hint="eastAsia" w:eastAsia="宋体"/>
          <w:sz w:val="24"/>
          <w:lang w:eastAsia="zh-CN"/>
        </w:rPr>
      </w:pPr>
      <w:r>
        <w:rPr>
          <w:rFonts w:hint="eastAsia"/>
          <w:sz w:val="24"/>
        </w:rPr>
        <w:t>花卉摆放地点:</w:t>
      </w:r>
      <w:r>
        <w:rPr>
          <w:rFonts w:hint="eastAsia"/>
          <w:sz w:val="24"/>
          <w:lang w:val="en-US" w:eastAsia="zh-CN"/>
        </w:rPr>
        <w:t>杭州市上城区</w:t>
      </w:r>
      <w:r>
        <w:rPr>
          <w:rFonts w:hint="eastAsia"/>
          <w:sz w:val="24"/>
        </w:rPr>
        <w:t>市民中心D座地下室</w:t>
      </w:r>
      <w:r>
        <w:rPr>
          <w:rFonts w:hint="eastAsia"/>
          <w:sz w:val="24"/>
          <w:lang w:eastAsia="zh-CN"/>
        </w:rPr>
        <w:t>。</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服务时间：1年，具体起止时间在签订合同时由采购人确定。</w:t>
      </w:r>
    </w:p>
    <w:p>
      <w:pPr>
        <w:numPr>
          <w:ilvl w:val="0"/>
          <w:numId w:val="1"/>
        </w:numPr>
        <w:spacing w:line="360" w:lineRule="auto"/>
        <w:ind w:firstLine="480" w:firstLineChars="200"/>
        <w:rPr>
          <w:rFonts w:hint="eastAsia"/>
          <w:sz w:val="24"/>
        </w:rPr>
      </w:pPr>
      <w:r>
        <w:rPr>
          <w:rFonts w:hint="eastAsia"/>
          <w:sz w:val="24"/>
        </w:rPr>
        <w:t>乙方对甲方租赁的花卉进行日常管理维护，每周至少一次。乙方保持摆放的植物美观、植物健壮、无病虫害。对于枯枝、黄叶等应及时做出更换、修剪等处理。</w:t>
      </w:r>
    </w:p>
    <w:p>
      <w:pPr>
        <w:numPr>
          <w:ilvl w:val="0"/>
          <w:numId w:val="1"/>
        </w:numPr>
        <w:spacing w:line="360" w:lineRule="auto"/>
        <w:ind w:firstLine="480" w:firstLineChars="200"/>
        <w:rPr>
          <w:rFonts w:hint="eastAsia"/>
          <w:sz w:val="24"/>
        </w:rPr>
      </w:pPr>
      <w:r>
        <w:rPr>
          <w:rFonts w:hint="eastAsia"/>
          <w:sz w:val="24"/>
        </w:rPr>
        <w:t>摆放的花卉由乙方负责养护，调换，甲方如有增减要求，应及时通知乙方，乙方予以调整。自乙方调整之日起，双方按新的租赁花卉数量进行结算。花卉，苗木在摆放过程中，如属甲方损坏，照价赔偿。如属自然死亡，由乙方自负。</w:t>
      </w:r>
    </w:p>
    <w:p>
      <w:pPr>
        <w:numPr>
          <w:ilvl w:val="0"/>
          <w:numId w:val="1"/>
        </w:numPr>
        <w:spacing w:line="360" w:lineRule="auto"/>
        <w:ind w:firstLine="480" w:firstLineChars="200"/>
        <w:rPr>
          <w:sz w:val="24"/>
        </w:rPr>
      </w:pPr>
      <w:r>
        <w:rPr>
          <w:rFonts w:hint="eastAsia"/>
          <w:sz w:val="24"/>
        </w:rPr>
        <w:t>乙方在养护过程中对于有病虫害的的花卉以及影响效果的花卉应及时更换。</w:t>
      </w:r>
    </w:p>
    <w:p>
      <w:pPr>
        <w:spacing w:line="360" w:lineRule="auto"/>
        <w:ind w:firstLine="480" w:firstLineChars="200"/>
        <w:rPr>
          <w:sz w:val="24"/>
        </w:rPr>
      </w:pPr>
      <w:r>
        <w:rPr>
          <w:rFonts w:hint="eastAsia"/>
          <w:sz w:val="24"/>
        </w:rPr>
        <w:t>5．乙方摆放的植物品种、档次应与打样时的档次一致，不得无故更换低档次植物。</w:t>
      </w:r>
    </w:p>
    <w:p>
      <w:pPr>
        <w:spacing w:line="360" w:lineRule="auto"/>
        <w:ind w:firstLine="480" w:firstLineChars="200"/>
        <w:rPr>
          <w:sz w:val="24"/>
        </w:rPr>
      </w:pPr>
      <w:r>
        <w:rPr>
          <w:rFonts w:hint="eastAsia"/>
          <w:sz w:val="24"/>
        </w:rPr>
        <w:t>6．乙方人员进出甲方场所应遵守甲方规章制度，服从甲方安排，不得进入与租摆业务无关的区域，不得损坏甲方设施，保持现场清洁卫生，做到人走场清。如因乙方人员违规对甲方造成损失的，应予以赔偿。</w:t>
      </w:r>
    </w:p>
    <w:p>
      <w:pPr>
        <w:spacing w:line="360" w:lineRule="auto"/>
        <w:ind w:firstLine="480" w:firstLineChars="200"/>
        <w:jc w:val="center"/>
        <w:rPr>
          <w:rFonts w:hint="eastAsia" w:ascii="微软雅黑" w:hAnsi="微软雅黑" w:eastAsia="微软雅黑" w:cs="微软雅黑"/>
          <w:b/>
          <w:bCs/>
          <w:sz w:val="24"/>
        </w:rPr>
      </w:pPr>
    </w:p>
    <w:p>
      <w:pPr>
        <w:spacing w:line="360" w:lineRule="auto"/>
        <w:ind w:firstLine="480" w:firstLineChars="200"/>
        <w:jc w:val="center"/>
        <w:rPr>
          <w:rFonts w:hint="eastAsia" w:ascii="宋体" w:hAnsi="宋体"/>
          <w:sz w:val="24"/>
          <w:lang w:val="en-US" w:eastAsia="zh-CN"/>
        </w:rPr>
      </w:pPr>
      <w:bookmarkStart w:id="0" w:name="_GoBack"/>
      <w:bookmarkEnd w:id="0"/>
      <w:r>
        <w:rPr>
          <w:rFonts w:hint="eastAsia" w:ascii="微软雅黑" w:hAnsi="微软雅黑" w:eastAsia="微软雅黑" w:cs="微软雅黑"/>
          <w:b/>
          <w:bCs/>
          <w:sz w:val="24"/>
        </w:rPr>
        <w:t>杭州市第一人民医院市民中心医务室</w:t>
      </w:r>
      <w:r>
        <w:rPr>
          <w:rFonts w:hint="eastAsia" w:ascii="微软雅黑" w:hAnsi="微软雅黑" w:eastAsia="微软雅黑" w:cs="微软雅黑"/>
          <w:b/>
          <w:bCs/>
          <w:sz w:val="24"/>
          <w:lang w:eastAsia="zh-CN"/>
        </w:rPr>
        <w:t>绿植清单</w:t>
      </w:r>
    </w:p>
    <w:tbl>
      <w:tblPr>
        <w:tblStyle w:val="2"/>
        <w:tblpPr w:leftFromText="180" w:rightFromText="180" w:vertAnchor="text" w:horzAnchor="page" w:tblpXSpec="center" w:tblpY="418"/>
        <w:tblOverlap w:val="never"/>
        <w:tblW w:w="7558" w:type="dxa"/>
        <w:jc w:val="center"/>
        <w:tblLayout w:type="autofit"/>
        <w:tblCellMar>
          <w:top w:w="0" w:type="dxa"/>
          <w:left w:w="108" w:type="dxa"/>
          <w:bottom w:w="0" w:type="dxa"/>
          <w:right w:w="108" w:type="dxa"/>
        </w:tblCellMar>
      </w:tblPr>
      <w:tblGrid>
        <w:gridCol w:w="3742"/>
        <w:gridCol w:w="2238"/>
        <w:gridCol w:w="1578"/>
      </w:tblGrid>
      <w:tr>
        <w:tblPrEx>
          <w:tblCellMar>
            <w:top w:w="0" w:type="dxa"/>
            <w:left w:w="108" w:type="dxa"/>
            <w:bottom w:w="0" w:type="dxa"/>
            <w:right w:w="108" w:type="dxa"/>
          </w:tblCellMar>
        </w:tblPrEx>
        <w:trPr>
          <w:trHeight w:val="691" w:hRule="atLeast"/>
          <w:jc w:val="center"/>
        </w:trPr>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植物名称</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数量（盆）</w:t>
            </w: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rPr>
          <w:trHeight w:val="656" w:hRule="atLeast"/>
          <w:jc w:val="center"/>
        </w:trPr>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螺纹铁</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656" w:hRule="atLeast"/>
          <w:jc w:val="center"/>
        </w:trPr>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黄星</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656" w:hRule="atLeast"/>
          <w:jc w:val="center"/>
        </w:trPr>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一品红</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w:t>
            </w: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656" w:hRule="atLeast"/>
          <w:jc w:val="center"/>
        </w:trPr>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发财树盆景（3×3）</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656" w:hRule="atLeast"/>
          <w:jc w:val="center"/>
        </w:trPr>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竹柏盆景（2×3）</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656" w:hRule="atLeast"/>
          <w:jc w:val="center"/>
        </w:trPr>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卡利组合（2*4）</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r>
      <w:tr>
        <w:tblPrEx>
          <w:tblCellMar>
            <w:top w:w="0" w:type="dxa"/>
            <w:left w:w="108" w:type="dxa"/>
            <w:bottom w:w="0" w:type="dxa"/>
            <w:right w:w="108" w:type="dxa"/>
          </w:tblCellMar>
        </w:tblPrEx>
        <w:trPr>
          <w:trHeight w:val="656" w:hRule="atLeast"/>
          <w:jc w:val="center"/>
        </w:trPr>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合计</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71</w:t>
            </w: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000000"/>
                <w:sz w:val="22"/>
                <w:szCs w:val="22"/>
                <w:u w:val="none"/>
              </w:rPr>
            </w:pPr>
          </w:p>
        </w:tc>
      </w:tr>
      <w:tr>
        <w:tblPrEx>
          <w:tblCellMar>
            <w:top w:w="0" w:type="dxa"/>
            <w:left w:w="108" w:type="dxa"/>
            <w:bottom w:w="0" w:type="dxa"/>
            <w:right w:w="108" w:type="dxa"/>
          </w:tblCellMar>
        </w:tblPrEx>
        <w:trPr>
          <w:trHeight w:val="685" w:hRule="atLeast"/>
          <w:jc w:val="center"/>
        </w:trPr>
        <w:tc>
          <w:tcPr>
            <w:tcW w:w="3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合同金额</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b/>
                <w:bCs/>
                <w:i w:val="0"/>
                <w:iCs w:val="0"/>
                <w:color w:val="000000"/>
                <w:sz w:val="22"/>
                <w:szCs w:val="22"/>
                <w:u w:val="none"/>
              </w:rPr>
            </w:pPr>
          </w:p>
        </w:tc>
      </w:tr>
    </w:tbl>
    <w:p>
      <w:pPr>
        <w:spacing w:line="360" w:lineRule="auto"/>
        <w:ind w:left="480"/>
        <w:rPr>
          <w:rFonts w:hint="eastAsia"/>
          <w:b/>
          <w:bCs/>
          <w:sz w:val="24"/>
        </w:rPr>
      </w:pPr>
      <w:r>
        <w:rPr>
          <w:rFonts w:hint="eastAsia"/>
          <w:b/>
          <w:bCs/>
          <w:sz w:val="24"/>
        </w:rPr>
        <w:t>实际使用中需要增加或者减少的，以当时甲方代表确认签字为据</w:t>
      </w:r>
      <w:r>
        <w:rPr>
          <w:rFonts w:hint="eastAsia"/>
          <w:b/>
          <w:bCs/>
          <w:sz w:val="24"/>
          <w:lang w:val="en-US" w:eastAsia="zh-CN"/>
        </w:rPr>
        <w:t>作为</w:t>
      </w:r>
      <w:r>
        <w:rPr>
          <w:rFonts w:hint="eastAsia"/>
          <w:b/>
          <w:bCs/>
          <w:sz w:val="24"/>
        </w:rPr>
        <w:t>新的结算依据。</w:t>
      </w:r>
    </w:p>
    <w:p>
      <w:pPr>
        <w:spacing w:line="360" w:lineRule="auto"/>
        <w:ind w:firstLine="480" w:firstLineChars="200"/>
        <w:rPr>
          <w:rFonts w:hint="default" w:ascii="宋体" w:hAnsi="宋体"/>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C01DE"/>
    <w:rsid w:val="5FAC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2025-04-15T01:46:00Z</dcterms:created>
  <dc:creator>Administrator</dc:creator>
  <cp:lastModifiedBy>Administrator</cp:lastModifiedBy>
  <dcterms:modified xsi:type="dcterms:W3CDTF">2025-04-15T02:13:37Z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7A6485C6C741489782AC3D3208B6BBC2</vt:lpwstr>
  </property>
</Properties>
</file>